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verflowPunct w:val="0"/>
        <w:spacing w:line="560" w:lineRule="exact"/>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overflowPunct w:val="0"/>
        <w:rPr>
          <w:rFonts w:ascii="Times New Roman" w:hAnsi="Times New Roman" w:cs="Times New Roman"/>
          <w:b/>
          <w:sz w:val="32"/>
          <w:szCs w:val="32"/>
        </w:rPr>
      </w:pPr>
    </w:p>
    <w:p>
      <w:pPr>
        <w:overflowPunct w:val="0"/>
        <w:spacing w:line="560" w:lineRule="exact"/>
        <w:jc w:val="center"/>
        <w:rPr>
          <w:rFonts w:ascii="Times New Roman" w:hAnsi="Times New Roman" w:eastAsia="方正小标宋简体" w:cs="Times New Roman"/>
          <w:b/>
          <w:sz w:val="44"/>
          <w:szCs w:val="44"/>
        </w:rPr>
      </w:pPr>
      <w:bookmarkStart w:id="0" w:name="_GoBack"/>
      <w:r>
        <w:rPr>
          <w:rFonts w:ascii="Times New Roman" w:hAnsi="Times New Roman" w:eastAsia="方正小标宋简体" w:cs="Times New Roman"/>
          <w:b/>
          <w:sz w:val="44"/>
          <w:szCs w:val="44"/>
        </w:rPr>
        <w:t>“双一流”建设高校名单</w:t>
      </w:r>
      <w:bookmarkEnd w:id="0"/>
    </w:p>
    <w:p>
      <w:pPr>
        <w:spacing w:line="560" w:lineRule="exact"/>
        <w:jc w:val="center"/>
        <w:rPr>
          <w:rFonts w:ascii="Times New Roman" w:hAnsi="Times New Roman" w:eastAsia="仿宋_GB2312" w:cs="Times New Roman"/>
          <w:b/>
          <w:kern w:val="0"/>
          <w:sz w:val="32"/>
          <w:szCs w:val="32"/>
        </w:rPr>
      </w:pPr>
      <w:r>
        <w:rPr>
          <w:rFonts w:hint="eastAsia" w:ascii="楷体_GB2312" w:hAnsi="楷体_GB2312" w:eastAsia="楷体_GB2312" w:cs="楷体_GB2312"/>
          <w:b/>
          <w:kern w:val="0"/>
          <w:sz w:val="32"/>
          <w:szCs w:val="32"/>
        </w:rPr>
        <w:t>（按学校代码排序）</w:t>
      </w:r>
    </w:p>
    <w:p>
      <w:pPr>
        <w:overflowPunct w:val="0"/>
        <w:spacing w:line="560" w:lineRule="exact"/>
        <w:ind w:firstLine="640" w:firstLineChars="200"/>
        <w:rPr>
          <w:rFonts w:ascii="Times New Roman" w:hAnsi="Times New Roman" w:eastAsia="方正楷体简体" w:cs="Times New Roman"/>
          <w:b/>
          <w:bCs/>
          <w:sz w:val="32"/>
          <w:szCs w:val="32"/>
        </w:rPr>
      </w:pPr>
    </w:p>
    <w:p>
      <w:pPr>
        <w:overflowPunct w:val="0"/>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一、一流大学建设高校42所</w:t>
      </w:r>
    </w:p>
    <w:p>
      <w:pPr>
        <w:overflowPunct w:val="0"/>
        <w:spacing w:line="560" w:lineRule="exact"/>
        <w:ind w:firstLine="643"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1. A类36所</w:t>
      </w:r>
    </w:p>
    <w:p>
      <w:pPr>
        <w:overflowPunct w:val="0"/>
        <w:spacing w:line="56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3"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2. B类6所</w:t>
      </w:r>
    </w:p>
    <w:p>
      <w:pPr>
        <w:overflowPunct w:val="0"/>
        <w:spacing w:line="56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东北大学、郑州大学、湖南大学、云南大学、西北农林科技大学、新疆大学</w:t>
      </w:r>
    </w:p>
    <w:p>
      <w:pPr>
        <w:overflowPunct w:val="0"/>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二、一流学科建设高校95所</w:t>
      </w:r>
    </w:p>
    <w:p>
      <w:pPr>
        <w:overflowPunct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overflowPunct w:val="0"/>
        <w:spacing w:line="560" w:lineRule="exact"/>
        <w:ind w:firstLine="643" w:firstLineChars="200"/>
        <w:rPr>
          <w:rFonts w:ascii="Times New Roman" w:hAnsi="Times New Roman" w:eastAsia="仿宋_GB2312" w:cs="Times New Roman"/>
          <w:b/>
          <w:sz w:val="32"/>
          <w:szCs w:val="32"/>
        </w:rPr>
      </w:pPr>
    </w:p>
    <w:p>
      <w:pPr>
        <w:overflowPunct w:val="0"/>
        <w:spacing w:line="560" w:lineRule="exact"/>
        <w:ind w:firstLine="643" w:firstLineChars="200"/>
        <w:rPr>
          <w:rFonts w:ascii="Times New Roman" w:hAnsi="Times New Roman" w:eastAsia="仿宋_GB2312" w:cs="Times New Roman"/>
          <w:b/>
          <w:sz w:val="32"/>
          <w:szCs w:val="32"/>
        </w:rPr>
      </w:pPr>
    </w:p>
    <w:p>
      <w:pPr>
        <w:overflowPunct w:val="0"/>
        <w:spacing w:line="560" w:lineRule="exact"/>
        <w:ind w:firstLine="643" w:firstLineChars="200"/>
        <w:rPr>
          <w:rFonts w:ascii="Times New Roman" w:hAnsi="Times New Roman" w:eastAsia="仿宋_GB2312" w:cs="Times New Roman"/>
          <w:b/>
          <w:sz w:val="32"/>
          <w:szCs w:val="32"/>
        </w:rPr>
      </w:pPr>
    </w:p>
    <w:p>
      <w:pPr>
        <w:overflowPunct w:val="0"/>
        <w:spacing w:line="560" w:lineRule="exact"/>
        <w:ind w:firstLine="643" w:firstLineChars="200"/>
        <w:rPr>
          <w:rFonts w:ascii="Times New Roman" w:hAnsi="Times New Roman" w:eastAsia="仿宋_GB2312" w:cs="Times New Roman"/>
          <w:b/>
          <w:sz w:val="32"/>
          <w:szCs w:val="32"/>
        </w:rPr>
      </w:pPr>
    </w:p>
    <w:p>
      <w:pPr>
        <w:pStyle w:val="2"/>
      </w:pPr>
    </w:p>
    <w:p>
      <w:pPr>
        <w:overflowPunct w:val="0"/>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“双一流”建设学科名单</w:t>
      </w:r>
    </w:p>
    <w:p>
      <w:pPr>
        <w:spacing w:line="560" w:lineRule="exact"/>
        <w:jc w:val="center"/>
        <w:rPr>
          <w:rFonts w:ascii="Times New Roman" w:hAnsi="Times New Roman" w:eastAsia="仿宋_GB2312" w:cs="Times New Roman"/>
          <w:b/>
          <w:kern w:val="0"/>
          <w:sz w:val="32"/>
          <w:szCs w:val="32"/>
        </w:rPr>
      </w:pPr>
      <w:r>
        <w:rPr>
          <w:rFonts w:hint="eastAsia" w:ascii="楷体_GB2312" w:hAnsi="楷体_GB2312" w:eastAsia="楷体_GB2312" w:cs="楷体_GB2312"/>
          <w:b/>
          <w:kern w:val="0"/>
          <w:sz w:val="32"/>
          <w:szCs w:val="32"/>
        </w:rPr>
        <w:t>（按学校代码排序）</w:t>
      </w:r>
    </w:p>
    <w:p>
      <w:pPr>
        <w:spacing w:line="560" w:lineRule="exact"/>
        <w:ind w:firstLine="720"/>
        <w:jc w:val="left"/>
        <w:rPr>
          <w:rFonts w:ascii="Times New Roman" w:hAnsi="Times New Roman" w:eastAsia="仿宋_GB2312" w:cs="Times New Roman"/>
          <w:b/>
          <w:kern w:val="0"/>
          <w:sz w:val="32"/>
          <w:szCs w:val="32"/>
        </w:rPr>
      </w:pP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大学：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中国人民大学：哲学、理论经济学、应用经济学、法学、政治学、社会学、马克思主义理论、新闻传播学、中国史、统计学、工商管理、农林经济管理、公共管理、图书情报与档案管理</w:t>
      </w:r>
    </w:p>
    <w:p>
      <w:pPr>
        <w:spacing w:line="500" w:lineRule="exact"/>
        <w:jc w:val="left"/>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注：1.不加（自定）标示的学科，是根据“双一流”建设专家委员会确定的标准而认定的学科；</w:t>
      </w:r>
    </w:p>
    <w:p>
      <w:pPr>
        <w:spacing w:line="500" w:lineRule="exact"/>
        <w:ind w:firstLine="562" w:firstLineChars="200"/>
        <w:jc w:val="left"/>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2.加（自定）标示的学科，是根据“双一流”建设专家委员会建议由高校自主确定的学科；</w:t>
      </w:r>
    </w:p>
    <w:p>
      <w:pPr>
        <w:spacing w:line="500" w:lineRule="exact"/>
        <w:ind w:firstLine="562" w:firstLineChars="200"/>
        <w:jc w:val="left"/>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3.高校建设方案中的自主建设学科按照专家委员会的咨询建议修改后由高校自行公布。</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清华大学：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北京交通大学：系统科学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北京工业大学：土木工程（自定）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北京航空航天大学：力学、仪器科学与技术、材料科学与工程、控制科学与工程、计算机科学与技术、航空宇航科学与技术、软件工程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北京理工大学：材料科学与工程、控制科学与工程、兵器科学与技术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北京科技大学：科学技术史、材料科学与工程、冶金工程、矿业工程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北京化工大学：化学工程与技术（自定）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北京邮电大学：信息与通信工程、计算机科学与技术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中国农业大学：生物学、农业工程、食品科学与工程、作物学、农业资源与环境、植物保护、畜牧学、兽医学、草学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北京林业大学：风景园林学、林学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北京协和医学院：生物学、生物医学工程、临床医学、药学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北京中医药大学：中医学、中西医结合、中药学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北京师范大学：教育学、心理学、中国语言文学、中国史、数学、地理学、系统科学、生态学、环境科学与工程、戏剧与影视学、语言学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首都师范大学：数学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北京外国语大学：外国语言文学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中国传媒大学：新闻传播学、戏剧与影视学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中央财经大学：应用经济学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对外经济贸易大学：应用经济学（自定）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外交学院：政治学（自定）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中国人民公安大学：公安学（自定）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北京体育大学：体育学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中央音乐学院：音乐与舞蹈学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中国音乐学院：音乐与舞蹈学（自定）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中央美术学院：美术学、设计学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中央戏剧学院：戏剧与影视学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中央民族大学：民族学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中国政法大学：法学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南开大学：世界史、数学、化学、统计学、材料科学与工程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天津大学：化学、材料科学与工程、化学工程与技术、管理科学与工程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天津工业大学：纺织科学与工程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天津医科大学：临床医学（自定）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华北电力大学：电气工程（自定）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河北工业大学：电气工程（自定）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太原理工大学：化学工程与技术（自定）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内蒙古大学：生物学（自定）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辽宁大学：应用经济学（自定）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大连理工大学：化学、工程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东北大学：控制科学与工程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大连海事大学：交通运输工程（自定）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吉林大学：考古学、数学、物理学、化学、材料科学与工程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延边大学：外国语言文学（自定）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东北师范大学：马克思主义理论、世界史、数学、化学、统计学、材料科学与工程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哈尔滨工业大学：力学、机械工程、材料科学与工程、控制科学与工程、计算机科学与技术、土木工程、环境科学与工程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哈尔滨工程大学：船舶与海洋工程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东北农业大学：畜牧学（自定）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东北林业大学：林业工程、林学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复旦大学：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同济大学：建筑学、土木工程、测绘科学与技术、环境科学与工程、城乡规划学、风景园林学、艺术与设计</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交通大学：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华东理工大学：化学、材料科学与工程、化学工程与技术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东华大学：纺织科学与工程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上海海洋大学：水产</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上海中医药大学：中医学、中药学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华东师范大学：教育学、生态学、统计学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上海外国语大学：外国语言文学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上海财经大学：统计学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上海体育学院：体育学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上海音乐学院：音乐与舞蹈学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上海大学：机械工程（自定）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南京大学：哲学、中国语言文学、外国语言文学、物理学、化学、天文学、大气科学、地质学、生物学、材料科学与工程、计算机科学与技术、化学工程与技术、矿业工程、环境科学与工程、图书情报与档案管理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苏州大学：材料科学与工程（自定）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东南大学：材料科学与工程、电子科学与技术、信息与通信工程、控制科学与工程、计算机科学与技术、建筑学、土木工程、交通运输工程、生物医学工程、风景园林学、艺术学理论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南京航空航天大学：力学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南京理工大学：兵器科学与技术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中国矿业大学：安全科学与工程、矿业工程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南京邮电大学：电子科学与技术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河海大学：水利工程、环境科学与工程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江南大学：轻工技术与工程、食品科学与工程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南京林业大学：林业工程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南京信息工程大学：大气科学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南京农业大学：作物学、农业资源与环境</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中国药科大学：中药学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南京师范大学：地理学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浙江大学：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中国美术学院：美术学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安徽大学：材料科学与工程（自定）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中国科学技术大学：数学、物理学、化学、天文学、地球物理学、生物学、科学技术史、材料科学与工程、计算机科学与技术、核科学与技术、安全科学与工程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合肥工业大学：管理科学与工程（自定）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厦门大学：化学、海洋科学、生物学、生态学、统计学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福州大学：化学（自定）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南昌大学：材料科学与工程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山东大学：数学、化学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中国海洋大学：海洋科学、水产</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中国石油大学（华东）：石油与天然气工程、地质资源与地质工程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郑州大学：临床医学（自定）、材料科学与工程（自定）、化学（自定）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河南大学：生物学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武汉大学：理论经济学、法学、马克思主义理论、化学、地球物理学、生物学、测绘科学与技术、矿业工程、口腔医学、图书情报与档案管理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华中科技大学：机械工程、光学工程、材料科学与工程、动力工程及工程热物理、电气工程、计算机科学与技术、基础医学、公共卫生与预防医学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中国地质大学（武汉）：地质学、地质资源与地质工程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武汉理工大学：材料科学与工程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华中农业大学：生物学、园艺学、畜牧学、兽医学、农林经济管理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华中师范大学：政治学、中国语言文学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中南财经政法大学：法学（自定）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湖南大学：化学、机械工程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中南大学：数学、材料科学与工程、冶金工程、矿业工程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湖南师范大学：外国语言文学（自定）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中山大学：哲学、数学、化学、生物学、生态学、材料科学与工程、电子科学与技术、基础医学、临床医学、药学、工商管理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暨南大学：药学（自定）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华南理工大学：化学、材料科学与工程、轻工技术与工程、农学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广州中医药大学：中医学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华南师范大学：物理学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海南大学：作物学（自定）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广西大学：土木工程（自定）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四川大学：数学、化学、材料科学与工程、基础医学、口腔医学、护理学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重庆大学：机械工程（自定）、电气工程（自定）、土木工程（自定）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西南交通大学：交通运输工程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电子科技大学：电子科学与技术、信息与通信工程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西南石油大学：石油与天然气工程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成都理工大学：地质学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四川农业大学：作物学（自定）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成都中医药大学：中药学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西南大学：生物学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西南财经大学：应用经济学（自定）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贵州大学：植物保护（自定）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云南大学：民族学、生态学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西藏大学：生态学（自定）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西北大学：地质学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西安交通大学：力学、机械工程、材料科学与工程、动力工程及工程热物理、电气工程、信息与通信工程、管理科学与工程、工商管理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西北工业大学：机械工程、材料科学与工程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西安电子科技大学：信息与通信工程、计算机科学与技术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长安大学：交通运输工程（自定）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西北农林科技大学：农学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陕西师范大学：中国语言文学（自定）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兰州大学：化学、大气科学、生态学、草学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青海大学：生态学（自定）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宁夏大学：化学工程与技术（自定）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新疆大学：马克思主义理论（自定）、化学（自定）、计算机科学与技术（自定）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石河子大学：化学工程与技术（自定）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中国矿业大学（北京）：安全科学与工程、矿业工程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中国石油大学（北京）：石油与天然气工程、地质资源与地质工程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中国地质大学（北京）：地质学、地质资源与地质工程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宁波大学：力学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中国科学院大学：化学、材料科学与工程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国防科技大学：信息与通信工程、计算机科学与技术、航空宇航科学与技术、软件工程、管理科学与工程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第二军医大学：基础医学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第四军医大学：临床医学（自定）</w:t>
      </w:r>
    </w:p>
    <w:p>
      <w:pPr>
        <w:spacing w:line="560" w:lineRule="exact"/>
        <w:ind w:firstLine="720"/>
        <w:jc w:val="left"/>
        <w:rPr>
          <w:rFonts w:ascii="Times New Roman" w:hAnsi="Times New Roman" w:eastAsia="仿宋_GB2312" w:cs="Times New Roman"/>
          <w:b/>
          <w:kern w:val="0"/>
          <w:sz w:val="32"/>
          <w:szCs w:val="32"/>
        </w:rPr>
      </w:pPr>
    </w:p>
    <w:p>
      <w:pPr>
        <w:overflowPunct w:val="0"/>
        <w:spacing w:line="4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来源：《教育部 财政部 国家发展改革委关于公布世界一流大学和一流学科建设高校及建设学科名单的通知》（教研函〔</w:t>
      </w:r>
      <w:r>
        <w:rPr>
          <w:rFonts w:ascii="Times New Roman" w:hAnsi="Times New Roman" w:eastAsia="楷体_GB2312" w:cs="Times New Roman"/>
          <w:b/>
          <w:bCs/>
          <w:sz w:val="32"/>
          <w:szCs w:val="32"/>
        </w:rPr>
        <w:t>2017</w:t>
      </w:r>
      <w:r>
        <w:rPr>
          <w:rFonts w:hint="eastAsia" w:ascii="楷体_GB2312" w:hAnsi="楷体_GB2312" w:eastAsia="楷体_GB2312" w:cs="楷体_GB2312"/>
          <w:b/>
          <w:bCs/>
          <w:sz w:val="32"/>
          <w:szCs w:val="32"/>
        </w:rPr>
        <w:t>〕</w:t>
      </w:r>
      <w:r>
        <w:rPr>
          <w:rFonts w:hint="eastAsia" w:ascii="Times New Roman" w:hAnsi="Times New Roman" w:eastAsia="楷体_GB2312" w:cs="Times New Roman"/>
          <w:b/>
          <w:bCs/>
          <w:sz w:val="32"/>
          <w:szCs w:val="32"/>
        </w:rPr>
        <w:t>2</w:t>
      </w:r>
      <w:r>
        <w:rPr>
          <w:rFonts w:hint="eastAsia" w:ascii="楷体_GB2312" w:hAnsi="楷体_GB2312" w:eastAsia="楷体_GB2312" w:cs="楷体_GB2312"/>
          <w:b/>
          <w:bCs/>
          <w:sz w:val="32"/>
          <w:szCs w:val="32"/>
        </w:rPr>
        <w:t>号）</w:t>
      </w:r>
    </w:p>
    <w:p>
      <w:pPr>
        <w:pStyle w:val="2"/>
      </w:pPr>
    </w:p>
    <w:p>
      <w:pPr>
        <w:rPr>
          <w:rFonts w:ascii="Times New Roman" w:hAnsi="Times New Roman" w:eastAsia="仿宋_GB2312" w:cs="Times New Roman"/>
          <w:b/>
        </w:rPr>
      </w:pPr>
    </w:p>
    <w:p>
      <w:pPr>
        <w:rPr>
          <w:rFonts w:ascii="Times New Roman" w:hAnsi="Times New Roman" w:eastAsia="仿宋_GB2312" w:cs="Times New Roman"/>
          <w:b/>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left:205.8pt;margin-top:0pt;height:144pt;width:144p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Cambria" w:hAnsi="Cambria" w:eastAsia="宋体" w:cs="黑体"/>
      <w:b/>
      <w:bCs/>
      <w:sz w:val="32"/>
      <w:szCs w:val="32"/>
    </w:rPr>
  </w:style>
  <w:style w:type="character" w:default="1" w:styleId="5">
    <w:name w:val="Default Paragraph Font"/>
    <w:semiHidden/>
    <w:unhideWhenUsed/>
    <w:uiPriority w:val="1"/>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标题 2 Char"/>
    <w:basedOn w:val="5"/>
    <w:link w:val="2"/>
    <w:semiHidden/>
    <w:uiPriority w:val="9"/>
    <w:rPr>
      <w:rFonts w:ascii="Cambria" w:hAnsi="Cambria" w:eastAsia="宋体" w:cs="黑体"/>
      <w:b/>
      <w:bCs/>
      <w:sz w:val="32"/>
      <w:szCs w:val="32"/>
    </w:rPr>
  </w:style>
  <w:style w:type="character" w:customStyle="1" w:styleId="7">
    <w:name w:val="页眉 Char"/>
    <w:basedOn w:val="5"/>
    <w:link w:val="4"/>
    <w:qFormat/>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四川省人力资源和社会保障厅</Company>
  <Pages>12</Pages>
  <Words>736</Words>
  <Characters>4201</Characters>
  <Lines>35</Lines>
  <Paragraphs>9</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dcterms:modified xsi:type="dcterms:W3CDTF">2020-06-08T07:54:09Z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